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22" w:rsidRPr="00DD746D" w:rsidRDefault="007D1522" w:rsidP="00DD746D">
      <w:pPr>
        <w:jc w:val="center"/>
        <w:rPr>
          <w:rFonts w:ascii="Times New Roman" w:hAnsi="Times New Roman" w:cs="Times New Roman"/>
          <w:b/>
          <w:sz w:val="28"/>
          <w:szCs w:val="28"/>
        </w:rPr>
      </w:pPr>
      <w:r w:rsidRPr="00DD746D">
        <w:rPr>
          <w:rFonts w:ascii="Times New Roman" w:hAnsi="Times New Roman" w:cs="Times New Roman"/>
          <w:b/>
          <w:sz w:val="28"/>
          <w:szCs w:val="28"/>
        </w:rPr>
        <w:t>SESSION</w:t>
      </w:r>
    </w:p>
    <w:p w:rsidR="007D1522" w:rsidRPr="00DD746D" w:rsidRDefault="007D1522" w:rsidP="00DD746D">
      <w:pPr>
        <w:jc w:val="center"/>
        <w:rPr>
          <w:rFonts w:ascii="Times New Roman" w:hAnsi="Times New Roman" w:cs="Times New Roman"/>
          <w:b/>
          <w:sz w:val="28"/>
          <w:szCs w:val="28"/>
        </w:rPr>
      </w:pPr>
      <w:r w:rsidRPr="00DD746D">
        <w:rPr>
          <w:rFonts w:ascii="Times New Roman" w:hAnsi="Times New Roman" w:cs="Times New Roman"/>
          <w:b/>
          <w:sz w:val="28"/>
          <w:szCs w:val="28"/>
        </w:rPr>
        <w:t>JUL/AUG 2021</w:t>
      </w:r>
    </w:p>
    <w:p w:rsidR="007D1522" w:rsidRPr="00DD746D" w:rsidRDefault="007D1522" w:rsidP="00DD746D">
      <w:pPr>
        <w:jc w:val="center"/>
        <w:rPr>
          <w:rFonts w:ascii="Times New Roman" w:hAnsi="Times New Roman" w:cs="Times New Roman"/>
          <w:b/>
          <w:sz w:val="28"/>
          <w:szCs w:val="28"/>
        </w:rPr>
      </w:pPr>
      <w:r w:rsidRPr="00DD746D">
        <w:rPr>
          <w:rFonts w:ascii="Times New Roman" w:hAnsi="Times New Roman" w:cs="Times New Roman"/>
          <w:b/>
          <w:sz w:val="28"/>
          <w:szCs w:val="28"/>
        </w:rPr>
        <w:t>PROGRAM</w:t>
      </w:r>
    </w:p>
    <w:p w:rsidR="007D1522" w:rsidRPr="00DD746D" w:rsidRDefault="007D1522" w:rsidP="00DD746D">
      <w:pPr>
        <w:jc w:val="center"/>
        <w:rPr>
          <w:rFonts w:ascii="Times New Roman" w:hAnsi="Times New Roman" w:cs="Times New Roman"/>
          <w:b/>
          <w:sz w:val="28"/>
          <w:szCs w:val="28"/>
        </w:rPr>
      </w:pPr>
      <w:r w:rsidRPr="00DD746D">
        <w:rPr>
          <w:rFonts w:ascii="Times New Roman" w:hAnsi="Times New Roman" w:cs="Times New Roman"/>
          <w:b/>
          <w:sz w:val="28"/>
          <w:szCs w:val="28"/>
        </w:rPr>
        <w:t>MASTEROF BUSINESS ADMINISTRATION (MBA)</w:t>
      </w:r>
    </w:p>
    <w:p w:rsidR="007D1522" w:rsidRPr="00DD746D" w:rsidRDefault="007D1522" w:rsidP="00DD746D">
      <w:pPr>
        <w:jc w:val="center"/>
        <w:rPr>
          <w:rFonts w:ascii="Times New Roman" w:hAnsi="Times New Roman" w:cs="Times New Roman"/>
          <w:b/>
          <w:sz w:val="28"/>
          <w:szCs w:val="28"/>
        </w:rPr>
      </w:pPr>
      <w:r w:rsidRPr="00DD746D">
        <w:rPr>
          <w:rFonts w:ascii="Times New Roman" w:hAnsi="Times New Roman" w:cs="Times New Roman"/>
          <w:b/>
          <w:sz w:val="28"/>
          <w:szCs w:val="28"/>
        </w:rPr>
        <w:t>SEMESTER</w:t>
      </w:r>
    </w:p>
    <w:p w:rsidR="007D1522" w:rsidRPr="00DD746D" w:rsidRDefault="007D1522" w:rsidP="00DD746D">
      <w:pPr>
        <w:jc w:val="center"/>
        <w:rPr>
          <w:rFonts w:ascii="Times New Roman" w:hAnsi="Times New Roman" w:cs="Times New Roman"/>
          <w:b/>
          <w:sz w:val="28"/>
          <w:szCs w:val="28"/>
        </w:rPr>
      </w:pPr>
      <w:r w:rsidRPr="00DD746D">
        <w:rPr>
          <w:rFonts w:ascii="Times New Roman" w:hAnsi="Times New Roman" w:cs="Times New Roman"/>
          <w:b/>
          <w:sz w:val="28"/>
          <w:szCs w:val="28"/>
        </w:rPr>
        <w:t>I</w:t>
      </w:r>
    </w:p>
    <w:p w:rsidR="007D1522" w:rsidRPr="00DD746D" w:rsidRDefault="007D1522" w:rsidP="00DD746D">
      <w:pPr>
        <w:jc w:val="center"/>
        <w:rPr>
          <w:rFonts w:ascii="Times New Roman" w:hAnsi="Times New Roman" w:cs="Times New Roman"/>
          <w:b/>
          <w:sz w:val="28"/>
          <w:szCs w:val="28"/>
        </w:rPr>
      </w:pPr>
      <w:r w:rsidRPr="00DD746D">
        <w:rPr>
          <w:rFonts w:ascii="Times New Roman" w:hAnsi="Times New Roman" w:cs="Times New Roman"/>
          <w:b/>
          <w:sz w:val="28"/>
          <w:szCs w:val="28"/>
        </w:rPr>
        <w:t>COURSE CODE &amp; NAME</w:t>
      </w:r>
    </w:p>
    <w:p w:rsidR="004C60C6" w:rsidRPr="00DD746D" w:rsidRDefault="007D1522" w:rsidP="00DD746D">
      <w:pPr>
        <w:jc w:val="center"/>
        <w:rPr>
          <w:rFonts w:ascii="Times New Roman" w:hAnsi="Times New Roman" w:cs="Times New Roman"/>
          <w:b/>
          <w:sz w:val="28"/>
          <w:szCs w:val="28"/>
        </w:rPr>
      </w:pPr>
      <w:r w:rsidRPr="00DD746D">
        <w:rPr>
          <w:rFonts w:ascii="Times New Roman" w:hAnsi="Times New Roman" w:cs="Times New Roman"/>
          <w:b/>
          <w:sz w:val="28"/>
          <w:szCs w:val="28"/>
        </w:rPr>
        <w:t>DMBA104– FINANCIAL AND MANAGEMENT ACCOUNTING</w:t>
      </w:r>
    </w:p>
    <w:p w:rsidR="007D1522" w:rsidRPr="00DD746D" w:rsidRDefault="007D1522" w:rsidP="00DD746D">
      <w:pPr>
        <w:jc w:val="both"/>
        <w:rPr>
          <w:rFonts w:ascii="Times New Roman" w:hAnsi="Times New Roman" w:cs="Times New Roman"/>
          <w:b/>
          <w:sz w:val="28"/>
          <w:szCs w:val="28"/>
        </w:rPr>
      </w:pPr>
    </w:p>
    <w:p w:rsidR="009F0289" w:rsidRPr="00DD746D" w:rsidRDefault="007D1522" w:rsidP="00DD746D">
      <w:pPr>
        <w:pStyle w:val="ListParagraph"/>
        <w:numPr>
          <w:ilvl w:val="0"/>
          <w:numId w:val="1"/>
        </w:numPr>
        <w:jc w:val="both"/>
        <w:rPr>
          <w:rFonts w:ascii="Times New Roman" w:hAnsi="Times New Roman" w:cs="Times New Roman"/>
          <w:b/>
          <w:sz w:val="28"/>
          <w:szCs w:val="28"/>
        </w:rPr>
      </w:pPr>
      <w:r w:rsidRPr="00DD746D">
        <w:rPr>
          <w:rFonts w:ascii="Times New Roman" w:hAnsi="Times New Roman" w:cs="Times New Roman"/>
          <w:b/>
          <w:sz w:val="28"/>
          <w:szCs w:val="28"/>
        </w:rPr>
        <w:t>Discuss 5 accounting concepts with suitable example of each concept.</w:t>
      </w:r>
    </w:p>
    <w:p w:rsidR="009F0289" w:rsidRPr="00DD746D" w:rsidRDefault="009F0289" w:rsidP="00DD746D">
      <w:pPr>
        <w:ind w:left="360"/>
        <w:jc w:val="both"/>
        <w:rPr>
          <w:rFonts w:ascii="Times New Roman" w:hAnsi="Times New Roman" w:cs="Times New Roman"/>
          <w:b/>
          <w:sz w:val="28"/>
          <w:szCs w:val="28"/>
        </w:rPr>
      </w:pPr>
      <w:proofErr w:type="gramStart"/>
      <w:r w:rsidRPr="00DD746D">
        <w:rPr>
          <w:rFonts w:ascii="Times New Roman" w:hAnsi="Times New Roman" w:cs="Times New Roman"/>
          <w:b/>
          <w:sz w:val="28"/>
          <w:szCs w:val="28"/>
        </w:rPr>
        <w:t>Ans.</w:t>
      </w:r>
      <w:proofErr w:type="gramEnd"/>
    </w:p>
    <w:p w:rsidR="009F0289" w:rsidRPr="00DD746D" w:rsidRDefault="009F0289" w:rsidP="00DD746D">
      <w:pPr>
        <w:pStyle w:val="ListParagraph"/>
        <w:jc w:val="both"/>
        <w:rPr>
          <w:rFonts w:ascii="Times New Roman" w:hAnsi="Times New Roman" w:cs="Times New Roman"/>
          <w:b/>
          <w:sz w:val="28"/>
          <w:szCs w:val="28"/>
        </w:rPr>
      </w:pPr>
    </w:p>
    <w:p w:rsidR="007D1522" w:rsidRPr="00DD746D" w:rsidRDefault="009F0289" w:rsidP="00DD746D">
      <w:pPr>
        <w:pStyle w:val="ListParagraph"/>
        <w:jc w:val="both"/>
        <w:rPr>
          <w:rFonts w:ascii="Times New Roman" w:hAnsi="Times New Roman" w:cs="Times New Roman"/>
          <w:b/>
          <w:sz w:val="28"/>
          <w:szCs w:val="28"/>
        </w:rPr>
      </w:pPr>
      <w:r w:rsidRPr="00DD746D">
        <w:rPr>
          <w:rFonts w:ascii="Times New Roman" w:hAnsi="Times New Roman" w:cs="Times New Roman"/>
          <w:b/>
          <w:sz w:val="28"/>
          <w:szCs w:val="28"/>
        </w:rPr>
        <w:t xml:space="preserve"> </w:t>
      </w:r>
    </w:p>
    <w:p w:rsidR="007D1522" w:rsidRPr="00DD746D" w:rsidRDefault="007D1522" w:rsidP="00DD746D">
      <w:pPr>
        <w:jc w:val="both"/>
        <w:rPr>
          <w:rFonts w:ascii="Times New Roman" w:hAnsi="Times New Roman" w:cs="Times New Roman"/>
          <w:b/>
          <w:sz w:val="28"/>
          <w:szCs w:val="28"/>
        </w:rPr>
      </w:pPr>
    </w:p>
    <w:p w:rsidR="009F0289" w:rsidRPr="00DD746D" w:rsidRDefault="009F0289" w:rsidP="00DD746D">
      <w:pPr>
        <w:pStyle w:val="ListParagraph"/>
        <w:numPr>
          <w:ilvl w:val="0"/>
          <w:numId w:val="2"/>
        </w:numPr>
        <w:jc w:val="both"/>
        <w:rPr>
          <w:rFonts w:ascii="Times New Roman" w:hAnsi="Times New Roman" w:cs="Times New Roman"/>
          <w:b/>
          <w:sz w:val="28"/>
          <w:szCs w:val="28"/>
        </w:rPr>
      </w:pPr>
      <w:r w:rsidRPr="00DD746D">
        <w:rPr>
          <w:rFonts w:ascii="Times New Roman" w:hAnsi="Times New Roman" w:cs="Times New Roman"/>
          <w:b/>
          <w:sz w:val="28"/>
          <w:szCs w:val="28"/>
        </w:rPr>
        <w:t>Business separate entity concept</w:t>
      </w:r>
    </w:p>
    <w:p w:rsidR="009F0289" w:rsidRDefault="009F0289" w:rsidP="003855DF">
      <w:pPr>
        <w:jc w:val="both"/>
        <w:rPr>
          <w:rFonts w:ascii="Times New Roman" w:hAnsi="Times New Roman" w:cs="Times New Roman"/>
          <w:sz w:val="28"/>
          <w:szCs w:val="28"/>
        </w:rPr>
      </w:pPr>
      <w:r w:rsidRPr="00DD746D">
        <w:rPr>
          <w:rFonts w:ascii="Times New Roman" w:hAnsi="Times New Roman" w:cs="Times New Roman"/>
          <w:sz w:val="28"/>
          <w:szCs w:val="28"/>
        </w:rPr>
        <w:t xml:space="preserve">This concept states that business is a separate entity and it is different from the proprietor or the owner. In this concept a company can own assets and incur liabilities in its own name. This separation not only has important legal implication but also has an accounting implication. This enables the business to segregate the transactions of the company from the private transactions of the proprietor(s). It </w:t>
      </w:r>
    </w:p>
    <w:p w:rsidR="003855DF" w:rsidRPr="00061CD1" w:rsidRDefault="003855DF" w:rsidP="003855DF">
      <w:pPr>
        <w:spacing w:line="360" w:lineRule="auto"/>
        <w:rPr>
          <w:sz w:val="24"/>
          <w:szCs w:val="24"/>
        </w:rPr>
      </w:pPr>
    </w:p>
    <w:p w:rsidR="003855DF" w:rsidRDefault="003855DF" w:rsidP="003855DF">
      <w:pPr>
        <w:shd w:val="clear" w:color="auto" w:fill="FFFFFF"/>
        <w:spacing w:line="360" w:lineRule="auto"/>
        <w:jc w:val="both"/>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3855DF" w:rsidRDefault="003855DF" w:rsidP="003855DF">
      <w:pPr>
        <w:shd w:val="clear" w:color="auto" w:fill="FFFFFF"/>
        <w:jc w:val="center"/>
        <w:rPr>
          <w:color w:val="222222"/>
        </w:rPr>
      </w:pPr>
      <w:r>
        <w:rPr>
          <w:rFonts w:ascii="Georgia" w:hAnsi="Georgia"/>
          <w:color w:val="222222"/>
          <w:sz w:val="33"/>
          <w:szCs w:val="33"/>
          <w:shd w:val="clear" w:color="auto" w:fill="FFFF00"/>
        </w:rPr>
        <w:t>Buy Complete from our online store</w:t>
      </w:r>
    </w:p>
    <w:p w:rsidR="003855DF" w:rsidRDefault="003855DF" w:rsidP="003855DF">
      <w:pPr>
        <w:shd w:val="clear" w:color="auto" w:fill="FFFFFF"/>
        <w:jc w:val="center"/>
        <w:rPr>
          <w:rFonts w:ascii="Georgia" w:hAnsi="Georgia"/>
          <w:color w:val="222222"/>
          <w:sz w:val="33"/>
          <w:szCs w:val="33"/>
          <w:shd w:val="clear" w:color="auto" w:fill="FFFF00"/>
        </w:rPr>
      </w:pPr>
    </w:p>
    <w:p w:rsidR="003855DF" w:rsidRDefault="003855DF" w:rsidP="003855D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855DF" w:rsidRDefault="003855DF" w:rsidP="003855DF">
      <w:pPr>
        <w:shd w:val="clear" w:color="auto" w:fill="FFFFFF"/>
        <w:jc w:val="center"/>
        <w:rPr>
          <w:color w:val="222222"/>
        </w:rPr>
      </w:pPr>
      <w:r>
        <w:rPr>
          <w:rFonts w:ascii="Georgia" w:hAnsi="Georgia"/>
          <w:color w:val="222222"/>
          <w:sz w:val="33"/>
          <w:szCs w:val="33"/>
          <w:shd w:val="clear" w:color="auto" w:fill="FFFF00"/>
        </w:rPr>
        <w:t>  </w:t>
      </w:r>
    </w:p>
    <w:p w:rsidR="003855DF" w:rsidRDefault="003855DF" w:rsidP="003855D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3855DF" w:rsidRDefault="003855DF" w:rsidP="003855DF">
      <w:pPr>
        <w:shd w:val="clear" w:color="auto" w:fill="FFFFFF"/>
        <w:jc w:val="center"/>
        <w:rPr>
          <w:rFonts w:ascii="Arial" w:hAnsi="Arial"/>
          <w:color w:val="222222"/>
        </w:rPr>
      </w:pPr>
    </w:p>
    <w:p w:rsidR="003855DF" w:rsidRDefault="003855DF" w:rsidP="003855DF">
      <w:pPr>
        <w:shd w:val="clear" w:color="auto" w:fill="FFFFFF"/>
        <w:jc w:val="center"/>
        <w:rPr>
          <w:color w:val="500050"/>
        </w:rPr>
      </w:pPr>
      <w:r>
        <w:rPr>
          <w:rFonts w:ascii="Georgia" w:hAnsi="Georgia"/>
          <w:color w:val="500050"/>
          <w:sz w:val="33"/>
          <w:szCs w:val="33"/>
        </w:rPr>
        <w:t>Lowest price guarantee with quality.</w:t>
      </w:r>
    </w:p>
    <w:p w:rsidR="003855DF" w:rsidRDefault="003855DF" w:rsidP="003855DF">
      <w:pPr>
        <w:shd w:val="clear" w:color="auto" w:fill="FFFFFF"/>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3855DF" w:rsidRDefault="003855DF" w:rsidP="003855DF">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855DF" w:rsidRDefault="003855DF" w:rsidP="003855DF">
      <w:pPr>
        <w:shd w:val="clear" w:color="auto" w:fill="FFFFFF"/>
        <w:jc w:val="center"/>
        <w:rPr>
          <w:color w:val="500050"/>
        </w:rPr>
      </w:pPr>
      <w:r>
        <w:rPr>
          <w:rFonts w:ascii="Georgia" w:hAnsi="Georgia"/>
          <w:color w:val="500050"/>
          <w:sz w:val="33"/>
          <w:szCs w:val="33"/>
        </w:rPr>
        <w:t> </w:t>
      </w:r>
    </w:p>
    <w:p w:rsidR="003855DF" w:rsidRDefault="003855DF" w:rsidP="003855DF">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3855DF" w:rsidRDefault="003855DF" w:rsidP="003855DF">
      <w:pPr>
        <w:shd w:val="clear" w:color="auto" w:fill="FFFFFF"/>
        <w:jc w:val="center"/>
        <w:rPr>
          <w:color w:val="500050"/>
        </w:rPr>
      </w:pPr>
      <w:r>
        <w:rPr>
          <w:rFonts w:ascii="Georgia" w:hAnsi="Georgia"/>
          <w:color w:val="500050"/>
          <w:sz w:val="33"/>
          <w:szCs w:val="33"/>
        </w:rPr>
        <w:t>After mail, we will reply you instant or maximum</w:t>
      </w:r>
    </w:p>
    <w:p w:rsidR="003855DF" w:rsidRDefault="003855DF" w:rsidP="003855DF">
      <w:pPr>
        <w:shd w:val="clear" w:color="auto" w:fill="FFFFFF"/>
        <w:jc w:val="center"/>
        <w:rPr>
          <w:color w:val="500050"/>
        </w:rPr>
      </w:pPr>
      <w:proofErr w:type="gramStart"/>
      <w:r>
        <w:rPr>
          <w:rFonts w:ascii="Georgia" w:hAnsi="Georgia"/>
          <w:color w:val="500050"/>
          <w:sz w:val="33"/>
          <w:szCs w:val="33"/>
        </w:rPr>
        <w:t>1 hour.</w:t>
      </w:r>
      <w:proofErr w:type="gramEnd"/>
    </w:p>
    <w:p w:rsidR="003855DF" w:rsidRDefault="003855DF" w:rsidP="003855DF">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3855DF" w:rsidRDefault="003855DF" w:rsidP="003855DF">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3855DF" w:rsidRDefault="003855DF" w:rsidP="003855DF">
      <w:pPr>
        <w:shd w:val="clear" w:color="auto" w:fill="FFFFFF"/>
        <w:jc w:val="center"/>
        <w:rPr>
          <w:color w:val="500050"/>
        </w:rPr>
      </w:pPr>
      <w:r>
        <w:rPr>
          <w:rFonts w:ascii="Georgia" w:hAnsi="Georgia"/>
          <w:color w:val="500050"/>
          <w:sz w:val="33"/>
          <w:szCs w:val="33"/>
          <w:shd w:val="clear" w:color="auto" w:fill="FF0000"/>
        </w:rPr>
        <w:t>Contact no is +91 87-55555-879</w:t>
      </w:r>
    </w:p>
    <w:p w:rsidR="003855DF" w:rsidRPr="00DD746D" w:rsidRDefault="003855DF" w:rsidP="003855DF">
      <w:pPr>
        <w:jc w:val="both"/>
        <w:rPr>
          <w:rFonts w:ascii="Times New Roman" w:hAnsi="Times New Roman" w:cs="Times New Roman"/>
          <w:b/>
          <w:sz w:val="28"/>
          <w:szCs w:val="28"/>
        </w:rPr>
      </w:pP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2. Prepare trading account of XYZ for the year ending 31 March 2019 from the following information:</w:t>
      </w: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Purchases 13</w:t>
      </w:r>
      <w:proofErr w:type="gramStart"/>
      <w:r w:rsidRPr="00DD746D">
        <w:rPr>
          <w:rFonts w:ascii="Times New Roman" w:hAnsi="Times New Roman" w:cs="Times New Roman"/>
          <w:b/>
          <w:sz w:val="28"/>
          <w:szCs w:val="28"/>
        </w:rPr>
        <w:t>,00,000</w:t>
      </w:r>
      <w:proofErr w:type="gramEnd"/>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Sales 15</w:t>
      </w:r>
      <w:proofErr w:type="gramStart"/>
      <w:r w:rsidRPr="00DD746D">
        <w:rPr>
          <w:rFonts w:ascii="Times New Roman" w:hAnsi="Times New Roman" w:cs="Times New Roman"/>
          <w:b/>
          <w:sz w:val="28"/>
          <w:szCs w:val="28"/>
        </w:rPr>
        <w:t>,00,000</w:t>
      </w:r>
      <w:proofErr w:type="gramEnd"/>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lastRenderedPageBreak/>
        <w:t>Stock (April 1, 2018) 40,000</w:t>
      </w: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Wages 30,000</w:t>
      </w: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Carriage inwards 14,000</w:t>
      </w: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Returns outwards 3,000</w:t>
      </w: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Returns inwards 2,500</w:t>
      </w: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Freight 15,000</w:t>
      </w: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Additional information: Stock on 31 March 2019 was Rs. 1</w:t>
      </w:r>
      <w:proofErr w:type="gramStart"/>
      <w:r w:rsidRPr="00DD746D">
        <w:rPr>
          <w:rFonts w:ascii="Times New Roman" w:hAnsi="Times New Roman" w:cs="Times New Roman"/>
          <w:b/>
          <w:sz w:val="28"/>
          <w:szCs w:val="28"/>
        </w:rPr>
        <w:t>,70,000</w:t>
      </w:r>
      <w:proofErr w:type="gramEnd"/>
    </w:p>
    <w:p w:rsidR="007D1522" w:rsidRPr="00DD746D" w:rsidRDefault="00B275ED" w:rsidP="00DD746D">
      <w:pPr>
        <w:jc w:val="both"/>
        <w:rPr>
          <w:rFonts w:ascii="Times New Roman" w:hAnsi="Times New Roman" w:cs="Times New Roman"/>
          <w:b/>
          <w:sz w:val="28"/>
          <w:szCs w:val="28"/>
        </w:rPr>
      </w:pPr>
      <w:r w:rsidRPr="00DD746D">
        <w:rPr>
          <w:rFonts w:ascii="Times New Roman" w:hAnsi="Times New Roman" w:cs="Times New Roman"/>
          <w:b/>
          <w:sz w:val="28"/>
          <w:szCs w:val="28"/>
        </w:rPr>
        <w:t>Answer:</w:t>
      </w:r>
    </w:p>
    <w:p w:rsidR="00B275ED" w:rsidRPr="00DD746D" w:rsidRDefault="00B275ED" w:rsidP="00DD746D">
      <w:pPr>
        <w:jc w:val="both"/>
        <w:rPr>
          <w:rFonts w:ascii="Times New Roman" w:eastAsiaTheme="minorEastAsia" w:hAnsi="Times New Roman" w:cs="Times New Roman"/>
          <w:sz w:val="28"/>
          <w:szCs w:val="28"/>
        </w:rPr>
      </w:pPr>
    </w:p>
    <w:p w:rsidR="00B275ED" w:rsidRPr="00DD746D" w:rsidRDefault="00B275ED" w:rsidP="00DD746D">
      <w:pPr>
        <w:jc w:val="both"/>
        <w:rPr>
          <w:rFonts w:ascii="Times New Roman" w:hAnsi="Times New Roman" w:cs="Times New Roman"/>
          <w:sz w:val="28"/>
          <w:szCs w:val="28"/>
        </w:rPr>
      </w:pPr>
      <w:r w:rsidRPr="00DD746D">
        <w:rPr>
          <w:rFonts w:ascii="Times New Roman" w:hAnsi="Times New Roman" w:cs="Times New Roman"/>
          <w:sz w:val="28"/>
          <w:szCs w:val="28"/>
        </w:rPr>
        <w:t>Trading Account</w:t>
      </w:r>
    </w:p>
    <w:tbl>
      <w:tblPr>
        <w:tblW w:w="10605"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1830"/>
        <w:gridCol w:w="3915"/>
        <w:gridCol w:w="1890"/>
      </w:tblGrid>
      <w:tr w:rsidR="00B275ED" w:rsidRPr="00DD746D" w:rsidTr="003F3933">
        <w:trPr>
          <w:trHeight w:val="555"/>
        </w:trPr>
        <w:tc>
          <w:tcPr>
            <w:tcW w:w="2970" w:type="dxa"/>
          </w:tcPr>
          <w:p w:rsidR="00B275ED" w:rsidRPr="00DD746D" w:rsidRDefault="00B275ED" w:rsidP="00DD746D">
            <w:pPr>
              <w:jc w:val="both"/>
              <w:rPr>
                <w:rFonts w:ascii="Times New Roman" w:hAnsi="Times New Roman" w:cs="Times New Roman"/>
                <w:sz w:val="28"/>
                <w:szCs w:val="28"/>
              </w:rPr>
            </w:pPr>
            <w:r w:rsidRPr="00DD746D">
              <w:rPr>
                <w:rFonts w:ascii="Times New Roman" w:hAnsi="Times New Roman" w:cs="Times New Roman"/>
                <w:sz w:val="28"/>
                <w:szCs w:val="28"/>
              </w:rPr>
              <w:t xml:space="preserve">Particulars </w:t>
            </w:r>
          </w:p>
        </w:tc>
        <w:tc>
          <w:tcPr>
            <w:tcW w:w="1830" w:type="dxa"/>
          </w:tcPr>
          <w:p w:rsidR="00B275ED" w:rsidRPr="00DD746D" w:rsidRDefault="00B275ED" w:rsidP="00DD746D">
            <w:pPr>
              <w:jc w:val="both"/>
              <w:rPr>
                <w:rFonts w:ascii="Times New Roman" w:hAnsi="Times New Roman" w:cs="Times New Roman"/>
                <w:sz w:val="28"/>
                <w:szCs w:val="28"/>
              </w:rPr>
            </w:pPr>
            <w:r w:rsidRPr="00DD746D">
              <w:rPr>
                <w:rFonts w:ascii="Times New Roman" w:hAnsi="Times New Roman" w:cs="Times New Roman"/>
                <w:sz w:val="28"/>
                <w:szCs w:val="28"/>
              </w:rPr>
              <w:t>Rs</w:t>
            </w:r>
          </w:p>
        </w:tc>
        <w:tc>
          <w:tcPr>
            <w:tcW w:w="3915" w:type="dxa"/>
          </w:tcPr>
          <w:p w:rsidR="00B275ED" w:rsidRPr="00DD746D" w:rsidRDefault="00B275ED" w:rsidP="00DD746D">
            <w:pPr>
              <w:jc w:val="both"/>
              <w:rPr>
                <w:rFonts w:ascii="Times New Roman" w:hAnsi="Times New Roman" w:cs="Times New Roman"/>
                <w:sz w:val="28"/>
                <w:szCs w:val="28"/>
              </w:rPr>
            </w:pPr>
            <w:r w:rsidRPr="00DD746D">
              <w:rPr>
                <w:rFonts w:ascii="Times New Roman" w:hAnsi="Times New Roman" w:cs="Times New Roman"/>
                <w:sz w:val="28"/>
                <w:szCs w:val="28"/>
              </w:rPr>
              <w:t>Particulars</w:t>
            </w:r>
          </w:p>
        </w:tc>
        <w:tc>
          <w:tcPr>
            <w:tcW w:w="1890" w:type="dxa"/>
          </w:tcPr>
          <w:p w:rsidR="00B275ED" w:rsidRPr="00DD746D" w:rsidRDefault="00B275ED" w:rsidP="00DD746D">
            <w:pPr>
              <w:jc w:val="both"/>
              <w:rPr>
                <w:rFonts w:ascii="Times New Roman" w:hAnsi="Times New Roman" w:cs="Times New Roman"/>
                <w:sz w:val="28"/>
                <w:szCs w:val="28"/>
              </w:rPr>
            </w:pPr>
            <w:r w:rsidRPr="00DD746D">
              <w:rPr>
                <w:rFonts w:ascii="Times New Roman" w:hAnsi="Times New Roman" w:cs="Times New Roman"/>
                <w:sz w:val="28"/>
                <w:szCs w:val="28"/>
              </w:rPr>
              <w:t>Rs</w:t>
            </w:r>
          </w:p>
        </w:tc>
      </w:tr>
    </w:tbl>
    <w:p w:rsidR="003855DF" w:rsidRDefault="003855DF" w:rsidP="00DD746D">
      <w:pPr>
        <w:jc w:val="both"/>
        <w:rPr>
          <w:rFonts w:ascii="Times New Roman" w:hAnsi="Times New Roman" w:cs="Times New Roman"/>
          <w:b/>
          <w:sz w:val="28"/>
          <w:szCs w:val="28"/>
        </w:rPr>
      </w:pPr>
    </w:p>
    <w:p w:rsidR="003855DF" w:rsidRDefault="003855DF" w:rsidP="00DD746D">
      <w:pPr>
        <w:jc w:val="both"/>
        <w:rPr>
          <w:rFonts w:ascii="Times New Roman" w:hAnsi="Times New Roman" w:cs="Times New Roman"/>
          <w:b/>
          <w:sz w:val="28"/>
          <w:szCs w:val="28"/>
        </w:rPr>
      </w:pPr>
    </w:p>
    <w:p w:rsidR="007D1522" w:rsidRPr="00DD746D" w:rsidRDefault="007D1522" w:rsidP="00DD746D">
      <w:pPr>
        <w:jc w:val="both"/>
        <w:rPr>
          <w:rFonts w:ascii="Times New Roman" w:hAnsi="Times New Roman" w:cs="Times New Roman"/>
          <w:b/>
          <w:sz w:val="28"/>
          <w:szCs w:val="28"/>
        </w:rPr>
      </w:pPr>
      <w:r w:rsidRPr="00DD746D">
        <w:rPr>
          <w:rFonts w:ascii="Times New Roman" w:hAnsi="Times New Roman" w:cs="Times New Roman"/>
          <w:b/>
          <w:sz w:val="28"/>
          <w:szCs w:val="28"/>
        </w:rPr>
        <w:t>3. Distinguish between management accounting and financial accounting.</w:t>
      </w:r>
    </w:p>
    <w:p w:rsidR="008440C7" w:rsidRDefault="00AE5589" w:rsidP="003855DF">
      <w:pPr>
        <w:jc w:val="both"/>
        <w:rPr>
          <w:rFonts w:ascii="Times New Roman" w:hAnsi="Times New Roman" w:cs="Times New Roman"/>
          <w:sz w:val="28"/>
          <w:szCs w:val="28"/>
        </w:rPr>
      </w:pPr>
      <w:r w:rsidRPr="00DD746D">
        <w:rPr>
          <w:rFonts w:ascii="Times New Roman" w:hAnsi="Times New Roman" w:cs="Times New Roman"/>
          <w:b/>
          <w:sz w:val="28"/>
          <w:szCs w:val="28"/>
        </w:rPr>
        <w:t>Answer.</w:t>
      </w:r>
      <w:r w:rsidR="00F33FD0" w:rsidRPr="00DD746D">
        <w:rPr>
          <w:rFonts w:ascii="Times New Roman" w:hAnsi="Times New Roman" w:cs="Times New Roman"/>
          <w:sz w:val="28"/>
          <w:szCs w:val="28"/>
        </w:rPr>
        <w:t xml:space="preserve"> </w:t>
      </w:r>
      <w:r w:rsidR="00C25E6F" w:rsidRPr="00DD746D">
        <w:rPr>
          <w:rFonts w:ascii="Times New Roman" w:hAnsi="Times New Roman" w:cs="Times New Roman"/>
          <w:sz w:val="28"/>
          <w:szCs w:val="28"/>
        </w:rPr>
        <w:t>Financial accounting is the preparation and communication of financial information to outsiders such as creditors, bankers, government, customers</w:t>
      </w:r>
      <w:proofErr w:type="gramStart"/>
      <w:r w:rsidR="00C25E6F" w:rsidRPr="00DD746D">
        <w:rPr>
          <w:rFonts w:ascii="Times New Roman" w:hAnsi="Times New Roman" w:cs="Times New Roman"/>
          <w:sz w:val="28"/>
          <w:szCs w:val="28"/>
        </w:rPr>
        <w:t>,  etc</w:t>
      </w:r>
      <w:proofErr w:type="gramEnd"/>
      <w:r w:rsidR="00C25E6F" w:rsidRPr="00DD746D">
        <w:rPr>
          <w:rFonts w:ascii="Times New Roman" w:hAnsi="Times New Roman" w:cs="Times New Roman"/>
          <w:sz w:val="28"/>
          <w:szCs w:val="28"/>
        </w:rPr>
        <w:t xml:space="preserve">. Another objective of financial accounting is to give complete picture of the enterprise to shareholders. Management accounting on the other hand, aims at preparing and </w:t>
      </w:r>
    </w:p>
    <w:p w:rsidR="003855DF" w:rsidRDefault="003855DF" w:rsidP="003855DF">
      <w:pPr>
        <w:jc w:val="both"/>
        <w:rPr>
          <w:rFonts w:ascii="Times New Roman" w:hAnsi="Times New Roman" w:cs="Times New Roman"/>
          <w:b/>
          <w:sz w:val="28"/>
          <w:szCs w:val="28"/>
        </w:rPr>
      </w:pPr>
    </w:p>
    <w:p w:rsidR="008440C7" w:rsidRDefault="008440C7" w:rsidP="008440C7">
      <w:pPr>
        <w:jc w:val="center"/>
        <w:rPr>
          <w:rFonts w:ascii="Times New Roman" w:hAnsi="Times New Roman" w:cs="Times New Roman"/>
          <w:b/>
          <w:sz w:val="28"/>
          <w:szCs w:val="28"/>
        </w:rPr>
      </w:pPr>
      <w:r>
        <w:rPr>
          <w:rFonts w:ascii="Times New Roman" w:hAnsi="Times New Roman" w:cs="Times New Roman"/>
          <w:b/>
          <w:sz w:val="28"/>
          <w:szCs w:val="28"/>
        </w:rPr>
        <w:t>SET 2</w:t>
      </w:r>
    </w:p>
    <w:p w:rsidR="007D1522" w:rsidRDefault="008440C7" w:rsidP="00DD746D">
      <w:pPr>
        <w:jc w:val="both"/>
        <w:rPr>
          <w:rFonts w:ascii="Times New Roman" w:hAnsi="Times New Roman" w:cs="Times New Roman"/>
          <w:b/>
          <w:sz w:val="28"/>
          <w:szCs w:val="28"/>
        </w:rPr>
      </w:pPr>
      <w:r>
        <w:rPr>
          <w:rFonts w:ascii="Times New Roman" w:hAnsi="Times New Roman" w:cs="Times New Roman"/>
          <w:b/>
          <w:sz w:val="28"/>
          <w:szCs w:val="28"/>
        </w:rPr>
        <w:t xml:space="preserve">4. </w:t>
      </w:r>
      <w:r w:rsidRPr="008440C7">
        <w:rPr>
          <w:rFonts w:ascii="Times New Roman" w:hAnsi="Times New Roman" w:cs="Times New Roman"/>
          <w:b/>
          <w:sz w:val="28"/>
          <w:szCs w:val="28"/>
        </w:rPr>
        <w:t>The Balance Sheet of Punjab Auto Limited as on 31‐12‐2020 was as follows:</w:t>
      </w:r>
    </w:p>
    <w:p w:rsidR="008440C7" w:rsidRDefault="008440C7" w:rsidP="008440C7">
      <w:pPr>
        <w:pStyle w:val="Default"/>
      </w:pPr>
    </w:p>
    <w:tbl>
      <w:tblPr>
        <w:tblW w:w="0" w:type="auto"/>
        <w:tblInd w:w="-108" w:type="dxa"/>
        <w:tblBorders>
          <w:top w:val="nil"/>
          <w:left w:val="nil"/>
          <w:bottom w:val="nil"/>
          <w:right w:val="nil"/>
        </w:tblBorders>
        <w:tblLayout w:type="fixed"/>
        <w:tblCellMar>
          <w:left w:w="0" w:type="dxa"/>
          <w:right w:w="0" w:type="dxa"/>
        </w:tblCellMar>
        <w:tblLook w:val="0000"/>
      </w:tblPr>
      <w:tblGrid>
        <w:gridCol w:w="1585"/>
        <w:gridCol w:w="1585"/>
        <w:gridCol w:w="1585"/>
        <w:gridCol w:w="1585"/>
        <w:gridCol w:w="360"/>
      </w:tblGrid>
      <w:tr w:rsidR="008440C7">
        <w:trPr>
          <w:trHeight w:val="98"/>
        </w:trPr>
        <w:tc>
          <w:tcPr>
            <w:tcW w:w="1585" w:type="dxa"/>
            <w:tcBorders>
              <w:top w:val="nil"/>
              <w:left w:val="nil"/>
              <w:bottom w:val="nil"/>
              <w:right w:val="nil"/>
            </w:tcBorders>
          </w:tcPr>
          <w:p w:rsidR="008440C7" w:rsidRDefault="008440C7">
            <w:pPr>
              <w:pStyle w:val="Default"/>
              <w:rPr>
                <w:sz w:val="22"/>
                <w:szCs w:val="22"/>
              </w:rPr>
            </w:pPr>
            <w:r>
              <w:t xml:space="preserve"> </w:t>
            </w:r>
            <w:r>
              <w:rPr>
                <w:b/>
                <w:bCs/>
                <w:sz w:val="22"/>
                <w:szCs w:val="22"/>
              </w:rPr>
              <w:t xml:space="preserve">Particulars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w:t>
            </w:r>
            <w:r>
              <w:rPr>
                <w:b/>
                <w:bCs/>
                <w:sz w:val="22"/>
                <w:szCs w:val="22"/>
              </w:rPr>
              <w:t xml:space="preserve">Rs.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w:t>
            </w:r>
            <w:r>
              <w:rPr>
                <w:b/>
                <w:bCs/>
                <w:sz w:val="22"/>
                <w:szCs w:val="22"/>
              </w:rPr>
              <w:t xml:space="preserve">Particular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w:t>
            </w:r>
            <w:r>
              <w:rPr>
                <w:b/>
                <w:bCs/>
                <w:sz w:val="22"/>
                <w:szCs w:val="22"/>
              </w:rPr>
              <w:t xml:space="preserve">Rs. </w:t>
            </w:r>
          </w:p>
        </w:tc>
        <w:tc>
          <w:tcPr>
            <w:tcW w:w="360" w:type="dxa"/>
          </w:tcPr>
          <w:p w:rsidR="008440C7" w:rsidRDefault="008440C7">
            <w:r>
              <w:t xml:space="preserve"> </w:t>
            </w:r>
          </w:p>
        </w:tc>
      </w:tr>
      <w:tr w:rsidR="008440C7">
        <w:trPr>
          <w:trHeight w:val="100"/>
        </w:trPr>
        <w:tc>
          <w:tcPr>
            <w:tcW w:w="1585" w:type="dxa"/>
            <w:tcBorders>
              <w:top w:val="nil"/>
              <w:left w:val="nil"/>
              <w:bottom w:val="nil"/>
              <w:right w:val="nil"/>
            </w:tcBorders>
          </w:tcPr>
          <w:p w:rsidR="008440C7" w:rsidRDefault="008440C7">
            <w:pPr>
              <w:pStyle w:val="Default"/>
              <w:rPr>
                <w:sz w:val="22"/>
                <w:szCs w:val="22"/>
              </w:rPr>
            </w:pPr>
            <w:r>
              <w:rPr>
                <w:color w:val="auto"/>
              </w:rPr>
              <w:lastRenderedPageBreak/>
              <w:t xml:space="preserve"> </w:t>
            </w:r>
            <w:r>
              <w:rPr>
                <w:sz w:val="22"/>
                <w:szCs w:val="22"/>
              </w:rPr>
              <w:t xml:space="preserve">Equity Share Capital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40,000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Plant and Machinery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24,000 </w:t>
            </w:r>
          </w:p>
        </w:tc>
        <w:tc>
          <w:tcPr>
            <w:tcW w:w="360" w:type="dxa"/>
          </w:tcPr>
          <w:p w:rsidR="008440C7" w:rsidRDefault="008440C7">
            <w:r>
              <w:t xml:space="preserve"> </w:t>
            </w:r>
          </w:p>
        </w:tc>
      </w:tr>
      <w:tr w:rsidR="008440C7">
        <w:trPr>
          <w:trHeight w:val="100"/>
        </w:trPr>
        <w:tc>
          <w:tcPr>
            <w:tcW w:w="1585" w:type="dxa"/>
            <w:tcBorders>
              <w:top w:val="nil"/>
              <w:left w:val="nil"/>
              <w:bottom w:val="nil"/>
              <w:right w:val="nil"/>
            </w:tcBorders>
          </w:tcPr>
          <w:p w:rsidR="008440C7" w:rsidRDefault="008440C7">
            <w:pPr>
              <w:pStyle w:val="Default"/>
              <w:rPr>
                <w:sz w:val="22"/>
                <w:szCs w:val="22"/>
              </w:rPr>
            </w:pPr>
            <w:r>
              <w:rPr>
                <w:color w:val="auto"/>
              </w:rPr>
              <w:t xml:space="preserve"> </w:t>
            </w:r>
            <w:r>
              <w:rPr>
                <w:sz w:val="22"/>
                <w:szCs w:val="22"/>
              </w:rPr>
              <w:t xml:space="preserve">Capital Reserve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8,000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Land and Buildings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40,000 </w:t>
            </w:r>
          </w:p>
        </w:tc>
        <w:tc>
          <w:tcPr>
            <w:tcW w:w="360" w:type="dxa"/>
          </w:tcPr>
          <w:p w:rsidR="008440C7" w:rsidRDefault="008440C7">
            <w:r>
              <w:t xml:space="preserve"> </w:t>
            </w:r>
          </w:p>
        </w:tc>
      </w:tr>
      <w:tr w:rsidR="008440C7">
        <w:trPr>
          <w:trHeight w:val="100"/>
        </w:trPr>
        <w:tc>
          <w:tcPr>
            <w:tcW w:w="1585" w:type="dxa"/>
            <w:tcBorders>
              <w:top w:val="nil"/>
              <w:left w:val="nil"/>
              <w:bottom w:val="nil"/>
              <w:right w:val="nil"/>
            </w:tcBorders>
          </w:tcPr>
          <w:p w:rsidR="008440C7" w:rsidRDefault="008440C7">
            <w:pPr>
              <w:pStyle w:val="Default"/>
              <w:rPr>
                <w:sz w:val="22"/>
                <w:szCs w:val="22"/>
              </w:rPr>
            </w:pPr>
            <w:r>
              <w:rPr>
                <w:color w:val="auto"/>
              </w:rPr>
              <w:t xml:space="preserve"> </w:t>
            </w:r>
            <w:r>
              <w:rPr>
                <w:sz w:val="22"/>
                <w:szCs w:val="22"/>
              </w:rPr>
              <w:t xml:space="preserve">8% Loan on Mortgage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32,000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Furniture &amp; Fixtures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16,000 </w:t>
            </w:r>
          </w:p>
        </w:tc>
        <w:tc>
          <w:tcPr>
            <w:tcW w:w="360" w:type="dxa"/>
          </w:tcPr>
          <w:p w:rsidR="008440C7" w:rsidRDefault="008440C7">
            <w:r>
              <w:t xml:space="preserve"> </w:t>
            </w:r>
          </w:p>
        </w:tc>
      </w:tr>
      <w:tr w:rsidR="008440C7">
        <w:trPr>
          <w:trHeight w:val="100"/>
        </w:trPr>
        <w:tc>
          <w:tcPr>
            <w:tcW w:w="1585" w:type="dxa"/>
            <w:tcBorders>
              <w:top w:val="nil"/>
              <w:left w:val="nil"/>
              <w:bottom w:val="nil"/>
              <w:right w:val="nil"/>
            </w:tcBorders>
          </w:tcPr>
          <w:p w:rsidR="008440C7" w:rsidRDefault="008440C7">
            <w:pPr>
              <w:pStyle w:val="Default"/>
              <w:rPr>
                <w:sz w:val="22"/>
                <w:szCs w:val="22"/>
              </w:rPr>
            </w:pPr>
            <w:r>
              <w:rPr>
                <w:color w:val="auto"/>
              </w:rPr>
              <w:t xml:space="preserve"> </w:t>
            </w:r>
            <w:r>
              <w:rPr>
                <w:sz w:val="22"/>
                <w:szCs w:val="22"/>
              </w:rPr>
              <w:t xml:space="preserve">Creditors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16,000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Stock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12,000 </w:t>
            </w:r>
          </w:p>
        </w:tc>
        <w:tc>
          <w:tcPr>
            <w:tcW w:w="360" w:type="dxa"/>
          </w:tcPr>
          <w:p w:rsidR="008440C7" w:rsidRDefault="008440C7">
            <w:r>
              <w:t xml:space="preserve"> </w:t>
            </w:r>
          </w:p>
        </w:tc>
      </w:tr>
      <w:tr w:rsidR="008440C7">
        <w:trPr>
          <w:trHeight w:val="100"/>
        </w:trPr>
        <w:tc>
          <w:tcPr>
            <w:tcW w:w="1585" w:type="dxa"/>
            <w:tcBorders>
              <w:top w:val="nil"/>
              <w:left w:val="nil"/>
              <w:bottom w:val="nil"/>
              <w:right w:val="nil"/>
            </w:tcBorders>
          </w:tcPr>
          <w:p w:rsidR="008440C7" w:rsidRDefault="008440C7">
            <w:pPr>
              <w:pStyle w:val="Default"/>
              <w:rPr>
                <w:sz w:val="22"/>
                <w:szCs w:val="22"/>
              </w:rPr>
            </w:pPr>
            <w:r>
              <w:rPr>
                <w:color w:val="auto"/>
              </w:rPr>
              <w:t xml:space="preserve"> </w:t>
            </w:r>
            <w:r>
              <w:rPr>
                <w:sz w:val="22"/>
                <w:szCs w:val="22"/>
              </w:rPr>
              <w:t xml:space="preserve">Bank overdraft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4,000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Debtors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12,000 </w:t>
            </w:r>
          </w:p>
        </w:tc>
        <w:tc>
          <w:tcPr>
            <w:tcW w:w="360" w:type="dxa"/>
          </w:tcPr>
          <w:p w:rsidR="008440C7" w:rsidRDefault="008440C7">
            <w:r>
              <w:t xml:space="preserve"> </w:t>
            </w:r>
          </w:p>
        </w:tc>
      </w:tr>
      <w:tr w:rsidR="008440C7">
        <w:trPr>
          <w:trHeight w:val="352"/>
        </w:trPr>
        <w:tc>
          <w:tcPr>
            <w:tcW w:w="1585" w:type="dxa"/>
            <w:tcBorders>
              <w:top w:val="nil"/>
              <w:left w:val="nil"/>
              <w:bottom w:val="nil"/>
              <w:right w:val="nil"/>
            </w:tcBorders>
          </w:tcPr>
          <w:p w:rsidR="008440C7" w:rsidRDefault="008440C7">
            <w:pPr>
              <w:pStyle w:val="Default"/>
              <w:rPr>
                <w:color w:val="auto"/>
              </w:rPr>
            </w:pPr>
            <w:r>
              <w:rPr>
                <w:color w:val="auto"/>
              </w:rPr>
              <w:t xml:space="preserve"> </w:t>
            </w:r>
          </w:p>
          <w:p w:rsidR="008440C7" w:rsidRDefault="008440C7">
            <w:pPr>
              <w:pStyle w:val="Default"/>
              <w:rPr>
                <w:sz w:val="22"/>
                <w:szCs w:val="22"/>
              </w:rPr>
            </w:pPr>
            <w:r>
              <w:rPr>
                <w:sz w:val="22"/>
                <w:szCs w:val="22"/>
              </w:rPr>
              <w:t xml:space="preserve">Taxation: </w:t>
            </w:r>
          </w:p>
          <w:p w:rsidR="008440C7" w:rsidRDefault="008440C7">
            <w:pPr>
              <w:pStyle w:val="Default"/>
              <w:rPr>
                <w:sz w:val="22"/>
                <w:szCs w:val="22"/>
              </w:rPr>
            </w:pPr>
            <w:r>
              <w:rPr>
                <w:sz w:val="22"/>
                <w:szCs w:val="22"/>
              </w:rPr>
              <w:t xml:space="preserve">Current </w:t>
            </w:r>
          </w:p>
          <w:p w:rsidR="008440C7" w:rsidRDefault="008440C7">
            <w:pPr>
              <w:pStyle w:val="Default"/>
              <w:rPr>
                <w:sz w:val="22"/>
                <w:szCs w:val="22"/>
              </w:rPr>
            </w:pPr>
            <w:r>
              <w:rPr>
                <w:sz w:val="22"/>
                <w:szCs w:val="22"/>
              </w:rPr>
              <w:t xml:space="preserve">Future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w:t>
            </w:r>
          </w:p>
          <w:p w:rsidR="008440C7" w:rsidRDefault="008440C7">
            <w:pPr>
              <w:pStyle w:val="Default"/>
              <w:rPr>
                <w:sz w:val="22"/>
                <w:szCs w:val="22"/>
              </w:rPr>
            </w:pPr>
          </w:p>
          <w:p w:rsidR="008440C7" w:rsidRDefault="008440C7">
            <w:pPr>
              <w:pStyle w:val="Default"/>
              <w:rPr>
                <w:sz w:val="22"/>
                <w:szCs w:val="22"/>
              </w:rPr>
            </w:pPr>
            <w:r>
              <w:rPr>
                <w:sz w:val="22"/>
                <w:szCs w:val="22"/>
              </w:rPr>
              <w:t xml:space="preserve">4,000 </w:t>
            </w:r>
          </w:p>
          <w:p w:rsidR="008440C7" w:rsidRDefault="008440C7">
            <w:pPr>
              <w:pStyle w:val="Default"/>
              <w:rPr>
                <w:sz w:val="22"/>
                <w:szCs w:val="22"/>
              </w:rPr>
            </w:pPr>
            <w:r>
              <w:rPr>
                <w:sz w:val="22"/>
                <w:szCs w:val="22"/>
              </w:rPr>
              <w:t xml:space="preserve">4,000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Investments (Short‐term)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4,000 </w:t>
            </w:r>
          </w:p>
        </w:tc>
        <w:tc>
          <w:tcPr>
            <w:tcW w:w="360" w:type="dxa"/>
          </w:tcPr>
          <w:p w:rsidR="008440C7" w:rsidRDefault="008440C7">
            <w:r>
              <w:t xml:space="preserve"> </w:t>
            </w:r>
          </w:p>
        </w:tc>
      </w:tr>
      <w:tr w:rsidR="008440C7">
        <w:trPr>
          <w:trHeight w:val="100"/>
        </w:trPr>
        <w:tc>
          <w:tcPr>
            <w:tcW w:w="1585" w:type="dxa"/>
            <w:tcBorders>
              <w:top w:val="nil"/>
              <w:left w:val="nil"/>
              <w:bottom w:val="nil"/>
              <w:right w:val="nil"/>
            </w:tcBorders>
          </w:tcPr>
          <w:p w:rsidR="008440C7" w:rsidRDefault="008440C7">
            <w:pPr>
              <w:pStyle w:val="Default"/>
              <w:rPr>
                <w:sz w:val="22"/>
                <w:szCs w:val="22"/>
              </w:rPr>
            </w:pPr>
            <w:r>
              <w:rPr>
                <w:color w:val="auto"/>
              </w:rPr>
              <w:t xml:space="preserve"> </w:t>
            </w:r>
            <w:r>
              <w:rPr>
                <w:sz w:val="22"/>
                <w:szCs w:val="22"/>
              </w:rPr>
              <w:t xml:space="preserve">Profit and Loss A/c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12,000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Cash in hand </w:t>
            </w:r>
          </w:p>
        </w:tc>
        <w:tc>
          <w:tcPr>
            <w:tcW w:w="1585" w:type="dxa"/>
            <w:tcBorders>
              <w:top w:val="nil"/>
              <w:left w:val="nil"/>
              <w:bottom w:val="nil"/>
              <w:right w:val="nil"/>
            </w:tcBorders>
          </w:tcPr>
          <w:p w:rsidR="008440C7" w:rsidRDefault="008440C7">
            <w:pPr>
              <w:pStyle w:val="Default"/>
              <w:rPr>
                <w:sz w:val="22"/>
                <w:szCs w:val="22"/>
              </w:rPr>
            </w:pPr>
            <w:r>
              <w:rPr>
                <w:sz w:val="22"/>
                <w:szCs w:val="22"/>
              </w:rPr>
              <w:t xml:space="preserve"> 12,000 </w:t>
            </w:r>
          </w:p>
        </w:tc>
        <w:tc>
          <w:tcPr>
            <w:tcW w:w="360" w:type="dxa"/>
          </w:tcPr>
          <w:p w:rsidR="008440C7" w:rsidRDefault="008440C7">
            <w:r>
              <w:t xml:space="preserve"> </w:t>
            </w:r>
          </w:p>
        </w:tc>
      </w:tr>
    </w:tbl>
    <w:p w:rsidR="008440C7" w:rsidRDefault="008440C7" w:rsidP="008440C7">
      <w:pPr>
        <w:jc w:val="both"/>
        <w:rPr>
          <w:rFonts w:ascii="Times New Roman" w:eastAsiaTheme="minorEastAsia" w:hAnsi="Times New Roman" w:cs="Times New Roman"/>
          <w:b/>
          <w:sz w:val="28"/>
          <w:szCs w:val="24"/>
        </w:rPr>
      </w:pPr>
    </w:p>
    <w:p w:rsidR="008440C7" w:rsidRPr="008440C7" w:rsidRDefault="008440C7" w:rsidP="008440C7">
      <w:pPr>
        <w:jc w:val="both"/>
        <w:rPr>
          <w:rFonts w:ascii="Times New Roman" w:eastAsiaTheme="minorEastAsia" w:hAnsi="Times New Roman" w:cs="Times New Roman"/>
          <w:sz w:val="28"/>
          <w:szCs w:val="24"/>
        </w:rPr>
      </w:pPr>
      <w:r>
        <w:rPr>
          <w:rFonts w:ascii="Times New Roman" w:eastAsiaTheme="minorEastAsia" w:hAnsi="Times New Roman" w:cs="Times New Roman"/>
          <w:b/>
          <w:sz w:val="28"/>
          <w:szCs w:val="24"/>
        </w:rPr>
        <w:tab/>
      </w:r>
      <w:r w:rsidRPr="008440C7">
        <w:rPr>
          <w:rFonts w:ascii="Times New Roman" w:eastAsiaTheme="minorEastAsia" w:hAnsi="Times New Roman" w:cs="Times New Roman"/>
          <w:sz w:val="28"/>
          <w:szCs w:val="24"/>
        </w:rPr>
        <w:tab/>
        <w:t>120000</w:t>
      </w:r>
      <w:r w:rsidRPr="008440C7">
        <w:rPr>
          <w:rFonts w:ascii="Times New Roman" w:eastAsiaTheme="minorEastAsia" w:hAnsi="Times New Roman" w:cs="Times New Roman"/>
          <w:sz w:val="28"/>
          <w:szCs w:val="24"/>
        </w:rPr>
        <w:tab/>
      </w:r>
      <w:r w:rsidRPr="008440C7">
        <w:rPr>
          <w:rFonts w:ascii="Times New Roman" w:eastAsiaTheme="minorEastAsia" w:hAnsi="Times New Roman" w:cs="Times New Roman"/>
          <w:sz w:val="28"/>
          <w:szCs w:val="24"/>
        </w:rPr>
        <w:tab/>
      </w:r>
      <w:r w:rsidRPr="008440C7">
        <w:rPr>
          <w:rFonts w:ascii="Times New Roman" w:eastAsiaTheme="minorEastAsia" w:hAnsi="Times New Roman" w:cs="Times New Roman"/>
          <w:sz w:val="28"/>
          <w:szCs w:val="24"/>
        </w:rPr>
        <w:tab/>
        <w:t xml:space="preserve">   120000</w:t>
      </w:r>
      <w:r w:rsidRPr="008440C7">
        <w:rPr>
          <w:rFonts w:ascii="Times New Roman" w:eastAsiaTheme="minorEastAsia" w:hAnsi="Times New Roman" w:cs="Times New Roman"/>
          <w:sz w:val="28"/>
          <w:szCs w:val="24"/>
        </w:rPr>
        <w:tab/>
      </w:r>
    </w:p>
    <w:p w:rsidR="008440C7" w:rsidRDefault="008440C7" w:rsidP="008440C7">
      <w:pPr>
        <w:pStyle w:val="Default"/>
        <w:jc w:val="both"/>
        <w:rPr>
          <w:sz w:val="22"/>
          <w:szCs w:val="22"/>
        </w:rPr>
      </w:pPr>
      <w:r>
        <w:rPr>
          <w:b/>
          <w:bCs/>
          <w:sz w:val="22"/>
          <w:szCs w:val="22"/>
        </w:rPr>
        <w:t xml:space="preserve">From the above, compute (a) Debt‐Equity Ratio and (b) Proprietary Ratio. </w:t>
      </w:r>
    </w:p>
    <w:p w:rsidR="00AF6BD7" w:rsidRDefault="00AF6BD7" w:rsidP="008440C7">
      <w:pPr>
        <w:jc w:val="both"/>
        <w:rPr>
          <w:rFonts w:ascii="Times New Roman" w:eastAsiaTheme="minorEastAsia" w:hAnsi="Times New Roman" w:cs="Times New Roman"/>
          <w:b/>
          <w:sz w:val="28"/>
          <w:szCs w:val="24"/>
        </w:rPr>
      </w:pPr>
    </w:p>
    <w:p w:rsidR="008440C7" w:rsidRDefault="008440C7" w:rsidP="008440C7">
      <w:pPr>
        <w:jc w:val="both"/>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Answer:</w:t>
      </w:r>
    </w:p>
    <w:p w:rsidR="008440C7" w:rsidRPr="008440C7" w:rsidRDefault="008440C7" w:rsidP="008440C7">
      <w:pPr>
        <w:jc w:val="both"/>
        <w:rPr>
          <w:rFonts w:ascii="Times New Roman" w:eastAsiaTheme="minorEastAsia" w:hAnsi="Times New Roman" w:cs="Times New Roman"/>
          <w:b/>
          <w:sz w:val="28"/>
          <w:szCs w:val="24"/>
        </w:rPr>
      </w:pPr>
      <w:r w:rsidRPr="008440C7">
        <w:rPr>
          <w:rFonts w:ascii="Times New Roman" w:eastAsiaTheme="minorEastAsia" w:hAnsi="Times New Roman" w:cs="Times New Roman"/>
          <w:b/>
          <w:sz w:val="28"/>
          <w:szCs w:val="24"/>
        </w:rPr>
        <w:t>Debt Equity Ratio</w:t>
      </w:r>
    </w:p>
    <w:p w:rsidR="008440C7" w:rsidRDefault="008440C7" w:rsidP="003855DF">
      <w:pPr>
        <w:jc w:val="both"/>
        <w:rPr>
          <w:rFonts w:ascii="Times New Roman" w:hAnsi="Times New Roman" w:cs="Times New Roman"/>
          <w:color w:val="111111"/>
          <w:spacing w:val="1"/>
          <w:sz w:val="28"/>
          <w:szCs w:val="24"/>
          <w:shd w:val="clear" w:color="auto" w:fill="FFFFFF"/>
        </w:rPr>
      </w:pPr>
      <w:r w:rsidRPr="008440C7">
        <w:rPr>
          <w:rFonts w:ascii="Times New Roman" w:hAnsi="Times New Roman" w:cs="Times New Roman"/>
          <w:color w:val="111111"/>
          <w:spacing w:val="1"/>
          <w:sz w:val="28"/>
          <w:szCs w:val="24"/>
          <w:shd w:val="clear" w:color="auto" w:fill="FFFFFF"/>
        </w:rPr>
        <w:t>The debt-to-equity (D/E) ratio is used to evaluate </w:t>
      </w:r>
      <w:r w:rsidRPr="008440C7">
        <w:rPr>
          <w:rFonts w:ascii="Times New Roman" w:hAnsi="Times New Roman" w:cs="Times New Roman"/>
          <w:spacing w:val="1"/>
          <w:sz w:val="28"/>
          <w:szCs w:val="24"/>
          <w:shd w:val="clear" w:color="auto" w:fill="FFFFFF"/>
        </w:rPr>
        <w:t>a company's financial leverage</w:t>
      </w:r>
      <w:r w:rsidRPr="008440C7">
        <w:rPr>
          <w:rFonts w:ascii="Times New Roman" w:hAnsi="Times New Roman" w:cs="Times New Roman"/>
          <w:color w:val="111111"/>
          <w:spacing w:val="1"/>
          <w:sz w:val="28"/>
          <w:szCs w:val="24"/>
          <w:shd w:val="clear" w:color="auto" w:fill="FFFFFF"/>
        </w:rPr>
        <w:t> and is calculated by dividing a company’s total liabilities by its </w:t>
      </w:r>
      <w:r w:rsidRPr="008440C7">
        <w:rPr>
          <w:rFonts w:ascii="Times New Roman" w:hAnsi="Times New Roman" w:cs="Times New Roman"/>
          <w:spacing w:val="1"/>
          <w:sz w:val="28"/>
          <w:szCs w:val="24"/>
          <w:shd w:val="clear" w:color="auto" w:fill="FFFFFF"/>
        </w:rPr>
        <w:t>shareholder equity</w:t>
      </w:r>
      <w:r w:rsidRPr="008440C7">
        <w:rPr>
          <w:rFonts w:ascii="Times New Roman" w:hAnsi="Times New Roman" w:cs="Times New Roman"/>
          <w:color w:val="111111"/>
          <w:spacing w:val="1"/>
          <w:sz w:val="28"/>
          <w:szCs w:val="24"/>
          <w:shd w:val="clear" w:color="auto" w:fill="FFFFFF"/>
        </w:rPr>
        <w:t xml:space="preserve">. The D/E ratio is an important metric used in corporate finance. It is a measure of the degree to which a company is financing its operations through debt versus wholly owned funds. More specifically, it reflects the ability of shareholder equity to cover all outstanding debts in the event of a </w:t>
      </w:r>
    </w:p>
    <w:p w:rsidR="003855DF" w:rsidRPr="008440C7" w:rsidRDefault="003855DF" w:rsidP="003855DF">
      <w:pPr>
        <w:jc w:val="both"/>
        <w:rPr>
          <w:rFonts w:ascii="Times New Roman" w:eastAsiaTheme="minorEastAsia" w:hAnsi="Times New Roman" w:cs="Times New Roman"/>
          <w:sz w:val="28"/>
          <w:szCs w:val="24"/>
        </w:rPr>
      </w:pPr>
    </w:p>
    <w:p w:rsidR="00607FAB" w:rsidRPr="00607FAB" w:rsidRDefault="00607FAB" w:rsidP="00607FAB">
      <w:pPr>
        <w:jc w:val="both"/>
        <w:rPr>
          <w:rFonts w:ascii="Times New Roman" w:hAnsi="Times New Roman" w:cs="Times New Roman"/>
          <w:b/>
          <w:sz w:val="28"/>
          <w:szCs w:val="28"/>
        </w:rPr>
      </w:pPr>
      <w:r w:rsidRPr="00607FAB">
        <w:rPr>
          <w:rFonts w:ascii="Times New Roman" w:hAnsi="Times New Roman" w:cs="Times New Roman"/>
          <w:b/>
          <w:sz w:val="28"/>
          <w:szCs w:val="28"/>
        </w:rPr>
        <w:t>5. State the purpose or objective of preparing a cash flow statement. Also give any two examples of cash flows from operating activities, investing activities and financing activities.</w:t>
      </w:r>
    </w:p>
    <w:p w:rsidR="00607FAB" w:rsidRPr="00607FAB" w:rsidRDefault="00607FAB" w:rsidP="00607FAB">
      <w:pPr>
        <w:jc w:val="both"/>
        <w:rPr>
          <w:rFonts w:ascii="Times New Roman" w:hAnsi="Times New Roman" w:cs="Times New Roman"/>
          <w:b/>
          <w:sz w:val="28"/>
          <w:szCs w:val="28"/>
        </w:rPr>
      </w:pPr>
      <w:r w:rsidRPr="00607FAB">
        <w:rPr>
          <w:rFonts w:ascii="Times New Roman" w:hAnsi="Times New Roman" w:cs="Times New Roman"/>
          <w:b/>
          <w:sz w:val="28"/>
          <w:szCs w:val="28"/>
        </w:rPr>
        <w:t>Answer:</w:t>
      </w:r>
    </w:p>
    <w:p w:rsidR="00607FAB" w:rsidRPr="00607FAB" w:rsidRDefault="00607FAB" w:rsidP="00607FAB">
      <w:pPr>
        <w:autoSpaceDE w:val="0"/>
        <w:autoSpaceDN w:val="0"/>
        <w:adjustRightInd w:val="0"/>
        <w:spacing w:after="0" w:line="240" w:lineRule="auto"/>
        <w:jc w:val="both"/>
        <w:rPr>
          <w:rFonts w:ascii="Times New Roman" w:hAnsi="Times New Roman" w:cs="Times New Roman"/>
          <w:b/>
          <w:bCs/>
          <w:sz w:val="28"/>
          <w:szCs w:val="28"/>
        </w:rPr>
      </w:pPr>
      <w:r w:rsidRPr="00607FAB">
        <w:rPr>
          <w:rFonts w:ascii="Times New Roman" w:hAnsi="Times New Roman" w:cs="Times New Roman"/>
          <w:b/>
          <w:bCs/>
          <w:sz w:val="28"/>
          <w:szCs w:val="28"/>
        </w:rPr>
        <w:t>Meaning of Cash Flow Analysis</w:t>
      </w:r>
    </w:p>
    <w:p w:rsidR="00607FAB" w:rsidRDefault="00607FAB" w:rsidP="003855DF">
      <w:pPr>
        <w:autoSpaceDE w:val="0"/>
        <w:autoSpaceDN w:val="0"/>
        <w:adjustRightInd w:val="0"/>
        <w:spacing w:after="0" w:line="240" w:lineRule="auto"/>
        <w:jc w:val="both"/>
        <w:rPr>
          <w:rFonts w:ascii="Times New Roman" w:hAnsi="Times New Roman" w:cs="Times New Roman"/>
          <w:sz w:val="28"/>
          <w:szCs w:val="28"/>
        </w:rPr>
      </w:pPr>
      <w:r w:rsidRPr="00607FAB">
        <w:rPr>
          <w:rFonts w:ascii="Times New Roman" w:hAnsi="Times New Roman" w:cs="Times New Roman"/>
          <w:sz w:val="28"/>
          <w:szCs w:val="28"/>
        </w:rPr>
        <w:lastRenderedPageBreak/>
        <w:t xml:space="preserve">Cash flow analysis is an important tool of financial analysis. It is the process of understanding the change in position with respect to cash in the current year and the reasons </w:t>
      </w:r>
    </w:p>
    <w:p w:rsidR="003855DF" w:rsidRPr="00607FAB" w:rsidRDefault="003855DF" w:rsidP="003855DF">
      <w:pPr>
        <w:autoSpaceDE w:val="0"/>
        <w:autoSpaceDN w:val="0"/>
        <w:adjustRightInd w:val="0"/>
        <w:spacing w:after="0" w:line="240" w:lineRule="auto"/>
        <w:jc w:val="both"/>
        <w:rPr>
          <w:rFonts w:ascii="Times New Roman" w:hAnsi="Times New Roman" w:cs="Times New Roman"/>
          <w:b/>
          <w:sz w:val="28"/>
          <w:szCs w:val="28"/>
        </w:rPr>
      </w:pPr>
    </w:p>
    <w:p w:rsidR="00607FAB" w:rsidRPr="00607FAB" w:rsidRDefault="00607FAB" w:rsidP="00607FAB">
      <w:pPr>
        <w:jc w:val="both"/>
        <w:rPr>
          <w:rFonts w:ascii="Times New Roman" w:hAnsi="Times New Roman" w:cs="Times New Roman"/>
          <w:b/>
          <w:sz w:val="28"/>
          <w:szCs w:val="28"/>
        </w:rPr>
      </w:pPr>
    </w:p>
    <w:p w:rsidR="00607FAB" w:rsidRPr="00607FAB" w:rsidRDefault="00607FAB" w:rsidP="00607FAB">
      <w:pPr>
        <w:jc w:val="both"/>
        <w:rPr>
          <w:rFonts w:ascii="Times New Roman" w:hAnsi="Times New Roman" w:cs="Times New Roman"/>
          <w:b/>
          <w:sz w:val="28"/>
          <w:szCs w:val="28"/>
        </w:rPr>
      </w:pPr>
      <w:r w:rsidRPr="00607FAB">
        <w:rPr>
          <w:rFonts w:ascii="Times New Roman" w:hAnsi="Times New Roman" w:cs="Times New Roman"/>
          <w:b/>
          <w:sz w:val="28"/>
          <w:szCs w:val="28"/>
        </w:rPr>
        <w:t>6. Discuss the steps involved in standard costing. Also state the Differences between Standard Costing and Budgetary Control.</w:t>
      </w:r>
    </w:p>
    <w:p w:rsidR="00607FAB" w:rsidRPr="00607FAB" w:rsidRDefault="00607FAB" w:rsidP="00607FAB">
      <w:pPr>
        <w:jc w:val="both"/>
        <w:rPr>
          <w:rFonts w:ascii="Times New Roman" w:hAnsi="Times New Roman" w:cs="Times New Roman"/>
          <w:b/>
          <w:sz w:val="28"/>
          <w:szCs w:val="28"/>
        </w:rPr>
      </w:pPr>
      <w:r w:rsidRPr="00607FAB">
        <w:rPr>
          <w:rFonts w:ascii="Times New Roman" w:hAnsi="Times New Roman" w:cs="Times New Roman"/>
          <w:b/>
          <w:sz w:val="28"/>
          <w:szCs w:val="28"/>
        </w:rPr>
        <w:t xml:space="preserve">Answer. </w:t>
      </w:r>
      <w:r w:rsidRPr="00607FAB">
        <w:rPr>
          <w:rFonts w:ascii="Times New Roman" w:hAnsi="Times New Roman" w:cs="Times New Roman"/>
          <w:sz w:val="28"/>
          <w:szCs w:val="28"/>
        </w:rPr>
        <w:t>Following are the steps involved in standard costing...</w:t>
      </w:r>
    </w:p>
    <w:p w:rsidR="00607FAB" w:rsidRPr="00607FAB" w:rsidRDefault="00607FAB" w:rsidP="00607FAB">
      <w:pPr>
        <w:autoSpaceDE w:val="0"/>
        <w:autoSpaceDN w:val="0"/>
        <w:adjustRightInd w:val="0"/>
        <w:spacing w:after="0" w:line="240" w:lineRule="auto"/>
        <w:jc w:val="both"/>
        <w:rPr>
          <w:rFonts w:ascii="Times New Roman" w:hAnsi="Times New Roman" w:cs="Times New Roman"/>
          <w:sz w:val="28"/>
          <w:szCs w:val="28"/>
        </w:rPr>
      </w:pPr>
      <w:r w:rsidRPr="00607FAB">
        <w:rPr>
          <w:rFonts w:ascii="Times New Roman" w:hAnsi="Times New Roman" w:cs="Times New Roman"/>
          <w:sz w:val="28"/>
          <w:szCs w:val="28"/>
        </w:rPr>
        <w:t>1. Establishment of standards</w:t>
      </w:r>
    </w:p>
    <w:p w:rsidR="00607FAB" w:rsidRPr="00607FAB" w:rsidRDefault="00607FAB" w:rsidP="00607FAB">
      <w:pPr>
        <w:autoSpaceDE w:val="0"/>
        <w:autoSpaceDN w:val="0"/>
        <w:adjustRightInd w:val="0"/>
        <w:spacing w:after="0" w:line="240" w:lineRule="auto"/>
        <w:jc w:val="both"/>
        <w:rPr>
          <w:rFonts w:ascii="Times New Roman" w:hAnsi="Times New Roman" w:cs="Times New Roman"/>
          <w:sz w:val="28"/>
          <w:szCs w:val="28"/>
        </w:rPr>
      </w:pPr>
      <w:r w:rsidRPr="00607FAB">
        <w:rPr>
          <w:rFonts w:ascii="Times New Roman" w:hAnsi="Times New Roman" w:cs="Times New Roman"/>
          <w:sz w:val="28"/>
          <w:szCs w:val="28"/>
        </w:rPr>
        <w:t xml:space="preserve">It is the first step in the standard costing process. Standards have to be set separately for each item of cost. It needs to be done very meticulously. </w:t>
      </w:r>
    </w:p>
    <w:p w:rsidR="00607FAB" w:rsidRPr="00607FAB" w:rsidRDefault="00607FAB" w:rsidP="00607FAB">
      <w:pPr>
        <w:autoSpaceDE w:val="0"/>
        <w:autoSpaceDN w:val="0"/>
        <w:adjustRightInd w:val="0"/>
        <w:spacing w:after="0" w:line="240" w:lineRule="auto"/>
        <w:jc w:val="both"/>
        <w:rPr>
          <w:rFonts w:ascii="Times New Roman" w:hAnsi="Times New Roman" w:cs="Times New Roman"/>
          <w:sz w:val="28"/>
          <w:szCs w:val="28"/>
        </w:rPr>
      </w:pPr>
    </w:p>
    <w:p w:rsidR="008440C7" w:rsidRPr="00607FAB" w:rsidRDefault="00607FAB" w:rsidP="003855DF">
      <w:pPr>
        <w:autoSpaceDE w:val="0"/>
        <w:autoSpaceDN w:val="0"/>
        <w:adjustRightInd w:val="0"/>
        <w:spacing w:after="0" w:line="240" w:lineRule="auto"/>
        <w:jc w:val="both"/>
        <w:rPr>
          <w:rFonts w:ascii="Times New Roman" w:eastAsiaTheme="minorEastAsia" w:hAnsi="Times New Roman" w:cs="Times New Roman"/>
          <w:sz w:val="28"/>
          <w:szCs w:val="28"/>
        </w:rPr>
      </w:pPr>
      <w:r w:rsidRPr="00607FAB">
        <w:rPr>
          <w:rFonts w:ascii="Times New Roman" w:hAnsi="Times New Roman" w:cs="Times New Roman"/>
          <w:sz w:val="28"/>
          <w:szCs w:val="28"/>
        </w:rPr>
        <w:t xml:space="preserve">2. Comparison </w:t>
      </w:r>
    </w:p>
    <w:p w:rsidR="00DD746D" w:rsidRPr="00607FAB" w:rsidRDefault="00DD746D" w:rsidP="00607FAB">
      <w:pPr>
        <w:jc w:val="both"/>
        <w:rPr>
          <w:rFonts w:ascii="Times New Roman" w:hAnsi="Times New Roman" w:cs="Times New Roman"/>
          <w:b/>
          <w:sz w:val="28"/>
          <w:szCs w:val="28"/>
        </w:rPr>
      </w:pPr>
    </w:p>
    <w:sectPr w:rsidR="00DD746D" w:rsidRPr="00607FAB" w:rsidSect="004C6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1FBD"/>
    <w:multiLevelType w:val="hybridMultilevel"/>
    <w:tmpl w:val="81D2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322F6"/>
    <w:multiLevelType w:val="hybridMultilevel"/>
    <w:tmpl w:val="1DD0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522"/>
    <w:rsid w:val="000E1D4F"/>
    <w:rsid w:val="003855DF"/>
    <w:rsid w:val="00456C51"/>
    <w:rsid w:val="004C60C6"/>
    <w:rsid w:val="00607FAB"/>
    <w:rsid w:val="00765C95"/>
    <w:rsid w:val="007D1522"/>
    <w:rsid w:val="008440C7"/>
    <w:rsid w:val="009F0289"/>
    <w:rsid w:val="00AE5589"/>
    <w:rsid w:val="00AF6BD7"/>
    <w:rsid w:val="00B275ED"/>
    <w:rsid w:val="00C25E6F"/>
    <w:rsid w:val="00C725F3"/>
    <w:rsid w:val="00CA79C0"/>
    <w:rsid w:val="00DB6228"/>
    <w:rsid w:val="00DD746D"/>
    <w:rsid w:val="00F33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89"/>
    <w:rPr>
      <w:rFonts w:ascii="Tahoma" w:hAnsi="Tahoma" w:cs="Tahoma"/>
      <w:sz w:val="16"/>
      <w:szCs w:val="16"/>
    </w:rPr>
  </w:style>
  <w:style w:type="paragraph" w:styleId="ListParagraph">
    <w:name w:val="List Paragraph"/>
    <w:basedOn w:val="Normal"/>
    <w:uiPriority w:val="34"/>
    <w:qFormat/>
    <w:rsid w:val="009F0289"/>
    <w:pPr>
      <w:ind w:left="720"/>
      <w:contextualSpacing/>
    </w:pPr>
  </w:style>
  <w:style w:type="table" w:styleId="TableGrid">
    <w:name w:val="Table Grid"/>
    <w:basedOn w:val="TableNormal"/>
    <w:uiPriority w:val="59"/>
    <w:rsid w:val="00AE5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440C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855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2022-01-19T07:19:00Z</dcterms:created>
  <dcterms:modified xsi:type="dcterms:W3CDTF">2022-02-01T13:30:00Z</dcterms:modified>
</cp:coreProperties>
</file>